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Annual Budget Report 2025-2026</w:t>
      </w:r>
    </w:p>
    <w:p/>
    <w:p>
      <w:pPr/>
      <w:r>
        <w:rPr/>
        <w:t xml:space="preserve">Operating Budget</w:t>
      </w:r>
    </w:p>
    <w:tbl>
      <w:tblGrid>
        <w:gridCol w:w="3000" w:type="dxa"/>
        <w:gridCol w:w="3000" w:type="dxa"/>
        <w:gridCol w:w="3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Item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Cash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1,000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1,500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Salaries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(2,000)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(2,500)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1,000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1,500</w:t>
            </w:r>
          </w:p>
        </w:tc>
      </w:tr>
    </w:tbl>
    <w:p/>
    <w:p>
      <w:pPr/>
      <w:r>
        <w:rPr/>
        <w:t xml:space="preserve">الموازنة التقديرية</w:t>
      </w:r>
    </w:p>
    <w:tbl>
      <w:tblGrid>
        <w:gridCol w:w="3000" w:type="dxa"/>
        <w:gridCol w:w="3000" w:type="dxa"/>
        <w:gridCol w:w="3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البند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٢٠٢٥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٢٠٢٦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النقد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١٬٠٠٠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١٬٥٠٠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الإجمالي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١٬٠٠٠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١٬٥٠٠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2026-06-30T22:01:49+02:00</dcterms:created>
  <dcterms:modified xsi:type="dcterms:W3CDTF">2026-06-30T22:01:49+02:00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